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4CDDF" w14:textId="77777777" w:rsidR="00B622EA" w:rsidRDefault="00B9066F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Entrevista</w:t>
      </w:r>
    </w:p>
    <w:p w14:paraId="266ACA24" w14:textId="77777777" w:rsidR="00B622EA" w:rsidRDefault="00B622EA">
      <w:pPr>
        <w:pStyle w:val="normal1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14:paraId="69D990A8" w14:textId="77777777" w:rsidR="00B622EA" w:rsidRDefault="00B9066F">
      <w:pPr>
        <w:pStyle w:val="normal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Educação, liberdade e emancipação sob a perspectiva da Teoria do Reconhecimento: entrevista com Axel Honneth</w:t>
      </w:r>
      <w:r>
        <w:rPr>
          <w:rStyle w:val="Refdenotaderodap"/>
          <w:rFonts w:ascii="Times New Roman" w:eastAsia="Times New Roman" w:hAnsi="Times New Roman" w:cs="Times New Roman"/>
          <w:b/>
          <w:sz w:val="24"/>
          <w:szCs w:val="24"/>
        </w:rPr>
        <w:footnoteReference w:id="1"/>
      </w:r>
    </w:p>
    <w:p w14:paraId="5A8F651B" w14:textId="77777777" w:rsidR="00B622EA" w:rsidRDefault="00B9066F">
      <w:pPr>
        <w:pStyle w:val="normal1"/>
        <w:jc w:val="right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Por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Krassimir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Stojanov</w:t>
      </w:r>
      <w:proofErr w:type="spellEnd"/>
      <w:r>
        <w:rPr>
          <w:rStyle w:val="Refdenotaderodap"/>
          <w:rFonts w:ascii="Times New Roman" w:eastAsia="Times New Roman" w:hAnsi="Times New Roman" w:cs="Times New Roman"/>
          <w:sz w:val="24"/>
          <w:szCs w:val="24"/>
        </w:rPr>
        <w:footnoteReference w:id="2"/>
      </w:r>
    </w:p>
    <w:p w14:paraId="4A26A21D" w14:textId="77777777" w:rsidR="00B622EA" w:rsidRDefault="00B622E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14:paraId="1748AC7C" w14:textId="77777777" w:rsidR="00B622EA" w:rsidRDefault="00B9066F">
      <w:pPr>
        <w:pStyle w:val="normal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Objetivos e contexto</w:t>
      </w:r>
    </w:p>
    <w:p w14:paraId="5A0DCBDD" w14:textId="77777777" w:rsidR="00B622EA" w:rsidRDefault="00B9066F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O objetivo principal da entrevista é articular e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esclarecer a concepção crítica de Axel Honneth sobre a educação democrática e emancipadora na era contemporânea e como essa concepção se relaciona com filósofos clássicos da educação, como Kant, Hegel e Dewey. Inicialmente, pretendia-se realizar a entrevis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ta presencialmente no final de março na Universidade Columbia, em Nova York, onde Honneth atualmente atua como Professor de Filosofia. No entanto, a crise da Covid-19 tornou esse encontro impossível. Em vez disso, a entrevista foi conduzida por e-mail.</w:t>
      </w:r>
    </w:p>
    <w:p w14:paraId="5E52CDAD" w14:textId="77777777" w:rsidR="00B622EA" w:rsidRDefault="00B622E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14:paraId="29A9515F" w14:textId="77777777" w:rsidR="00B622EA" w:rsidRDefault="00B9066F">
      <w:pPr>
        <w:pStyle w:val="normal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Kr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assimir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Stojanov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:</w:t>
      </w:r>
    </w:p>
    <w:p w14:paraId="5FA37616" w14:textId="77777777" w:rsidR="00B622EA" w:rsidRDefault="00B9066F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No seu artigo “</w:t>
      </w:r>
      <w:r w:rsidRPr="00930241">
        <w:rPr>
          <w:rFonts w:ascii="Times New Roman" w:eastAsia="Times New Roman" w:hAnsi="Times New Roman" w:cs="Times New Roman"/>
          <w:iCs/>
          <w:sz w:val="24"/>
          <w:szCs w:val="24"/>
          <w:lang w:val="pt-BR"/>
        </w:rPr>
        <w:t>Educação e a esfera pública democrática: um capítulo negligenciado da filosofia política</w:t>
      </w:r>
      <w:r>
        <w:rPr>
          <w:rFonts w:ascii="Times New Roman" w:eastAsia="Times New Roman" w:hAnsi="Times New Roman" w:cs="Times New Roman"/>
          <w:iCs/>
          <w:sz w:val="24"/>
          <w:szCs w:val="24"/>
          <w:lang w:val="pt-BR"/>
        </w:rPr>
        <w:t>” (Hon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neth, 2015), você se distancia – seguindo Durkheim e Dewey – da visão predominante atualmente de que o objetivo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principal da atividade escolar é o desenvolvimento da autonomia individual. Ao mesmo tempo, você insiste que o processo educacional deve visar à promoção da liberdade. Em que sentido, então, “liberdade” difere de “autonomia” como objetivo educacional?</w:t>
      </w:r>
    </w:p>
    <w:p w14:paraId="1CF61C43" w14:textId="77777777" w:rsidR="00B622EA" w:rsidRDefault="00B622EA">
      <w:pPr>
        <w:pStyle w:val="normal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</w:p>
    <w:p w14:paraId="28A6E9E4" w14:textId="77777777" w:rsidR="00B622EA" w:rsidRDefault="00B9066F" w:rsidP="00930241">
      <w:pPr>
        <w:pStyle w:val="normal1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Axe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l Honneth: </w:t>
      </w:r>
    </w:p>
    <w:p w14:paraId="2667A878" w14:textId="01C2CBFC" w:rsidR="00B622EA" w:rsidRDefault="00B9066F" w:rsidP="00930241">
      <w:pPr>
        <w:pStyle w:val="normal1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Essa é uma pergunta boa e relevante, já que certas formulações no meu texto poderiam facilmente levar a mal-entendidos. Quando uso “autonomia”</w:t>
      </w:r>
      <w:r>
        <w:rPr>
          <w:rStyle w:val="Refdenotaderodap"/>
          <w:rFonts w:ascii="Times New Roman" w:eastAsia="Times New Roman" w:hAnsi="Times New Roman" w:cs="Times New Roman"/>
          <w:sz w:val="24"/>
          <w:szCs w:val="24"/>
        </w:rPr>
        <w:footnoteReference w:id="3"/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naquele artigo, refiro-me principalmente à tradição kantiana, caracterizada por uma tendência a ver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o sujeito individual em isolamento de todos os outros; isso pode ser entendido como uma herança do transcendentalismo de Kant, que parte dos poderes constitutivos de um </w:t>
      </w:r>
      <w:r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>ego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percebido como extramundano e, portanto, desprovido de todas as aparências mundana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s, incluindo outros sujeitos. Se o objetivo principal da escolarização for entendido nesses termos, corre-se o risco de acreditar que o que as crianças devem aprender é, principalmente, desenvolver uma independência cognitiva e moral, uma capacidade de for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mar seus próprios julgamentos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criados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autonomamente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. O perigo nisso é ignorar a dependência do nosso desenvolvimento intelectual em relação à cooperação com os outros</w:t>
      </w:r>
      <w:r>
        <w:rPr>
          <w:rStyle w:val="Refdenotaderodap"/>
          <w:rFonts w:ascii="Times New Roman" w:eastAsia="Times New Roman" w:hAnsi="Times New Roman" w:cs="Times New Roman"/>
          <w:sz w:val="24"/>
          <w:szCs w:val="24"/>
        </w:rPr>
        <w:footnoteReference w:id="4"/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. Então, quando falo em meu artigo sobre “liberdade”</w:t>
      </w:r>
      <w:r>
        <w:rPr>
          <w:rStyle w:val="Refdenotaderodap"/>
          <w:rFonts w:ascii="Times New Roman" w:eastAsia="Times New Roman" w:hAnsi="Times New Roman" w:cs="Times New Roman"/>
          <w:sz w:val="24"/>
          <w:szCs w:val="24"/>
        </w:rPr>
        <w:footnoteReference w:id="5"/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como o objetivo principal da educação, estou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lastRenderedPageBreak/>
        <w:t>me referindo a algo muito especial que encontramos articulado na tradição de Hegel, Dewey e outros, a saber, uma forma de liberdade comunicativa</w:t>
      </w:r>
      <w:r>
        <w:rPr>
          <w:rStyle w:val="Refdenotaderodap"/>
          <w:rFonts w:ascii="Times New Roman" w:eastAsia="Times New Roman" w:hAnsi="Times New Roman" w:cs="Times New Roman"/>
          <w:sz w:val="24"/>
          <w:szCs w:val="24"/>
        </w:rPr>
        <w:footnoteReference w:id="6"/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que consiste em estarmos juntos com os outros, que tomamos como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parceiros cooperativos em nossas transações 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empreendimentos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diários. Em relação à escolarização, isso significa entender o objetivo educacional como ajudar a criança ou aluno a desenvolver uma atitude comunicativa, um senso das vantagens de um modo coop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erativo de resolução de problemas sobre um estilo individualista de lidar com desafios cognitivos ou morais. A melhor palavra para o tipo de liberdade com a qual as crianças devem se familiarizar na escola seria “liberdade social”, uma liberdade individual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que só posso alcançar exclusiva e conjuntamente com os outros e em cooperação com eles.</w:t>
      </w:r>
    </w:p>
    <w:p w14:paraId="71B6D8DC" w14:textId="77777777" w:rsidR="00B622EA" w:rsidRDefault="00B622E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14:paraId="0EAA64E3" w14:textId="77777777" w:rsidR="00B622EA" w:rsidRDefault="00B9066F">
      <w:pPr>
        <w:pStyle w:val="normal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Krassimir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Stojanov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:</w:t>
      </w:r>
    </w:p>
    <w:p w14:paraId="39ED20C5" w14:textId="291841F0" w:rsidR="00B622EA" w:rsidRDefault="00B9066F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Você parece adotar uma visão predominantemente kantiana da liberdade como principal objetivo da educação. De acordo com essa visão, que você també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m vincula a Dewey, a criança é inicialmente não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livre, pois é “governada pela natureza” ou sujeita às regras da natureza. Alguns teóricos da educação chamam essa visão pejorativamente de “desenvolvimentista”, pois adota uma compreensão linear do crescimen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to como progresso moral e atribui um status moral inferior às crianças. Assim como você, esses teóricos referem-se em sua argumentação à concepção pragmatista de educação de Dewey, mas a interpretam de maneira bastante diferente. Segundo essa interpretação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, as crianças são de certo modo mais livres do que os adultos, uma vez que as primeiras são caracterizadas pela plasticidade e espontaneidade, que os últimos não possuem mais. Estou curioso para saber como você pode conciliar a ênfase de Dewey na liberdade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infantil com a noção bastante rígida e negativa da infância de Kant.</w:t>
      </w:r>
    </w:p>
    <w:p w14:paraId="590F0A45" w14:textId="77777777" w:rsidR="00B622EA" w:rsidRDefault="00B622EA" w:rsidP="00930241">
      <w:pPr>
        <w:pStyle w:val="normal1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14:paraId="3109D7B4" w14:textId="77777777" w:rsidR="00B622EA" w:rsidRDefault="00B9066F">
      <w:pPr>
        <w:pStyle w:val="normal1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Axel Honneth:</w:t>
      </w:r>
    </w:p>
    <w:p w14:paraId="61A4D7AD" w14:textId="77777777" w:rsidR="00B622EA" w:rsidRDefault="00B9066F" w:rsidP="00930241">
      <w:pPr>
        <w:pStyle w:val="normal1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Se essa compreensão “desenvolvimentista” das crianças é o que você pensa que estou defendendo em meu artigo, então me articulei muito mal. Estou muito longe de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aceitar a ideia de que precisamos medir as capacidades cognitivas e as habilidades práticas das crianças apenas em termos de nossas próprias faculdades e proficiências adultas; muito pelo contrário, acredito que as crianças dispõem de capacidades que nós,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adultos, desaprendemos devido às pressões de lidar com os desafios diários da vida. Como argumentei em um artigo que, infelizmente, não foi traduzido para o inglês (Honneth, 2020), é um dos privilégios cognitivos das crianças ainda dispor de poderes imagin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ativos que nós perdemos – algo que Adorno sempre enfatizou ao afirmar que as crianças ainda não se separaram cognitivamente do seu ambiente e, portanto, podem imaginar o que mais tarde será um puro “objeto” para elas como ainda dotado de vida e atitudes re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ativas. Por outro lado, seria errado simplesmente descartar nossa tentativa de educar as crianças para que se tornem futuros cidadãos democráticos, o que implica equipá-las com habilidades e proficiências necessárias para cumprir esse papel? A verdadeira s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abedoria em qualquer educação de crianças, portanto, é aproveitar seus poderes imaginativos e potenciais criativos para permitir que adquiram cooperativamente as capacidades necessárias para, mais tarde, poderem participar sem ansiedades e vergonha na form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ação da vontade democrática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algo mais fácil de dizer do que de realizar na prática.</w:t>
      </w:r>
    </w:p>
    <w:p w14:paraId="0BF2E609" w14:textId="77777777" w:rsidR="00B622EA" w:rsidRDefault="00B622E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14:paraId="006FA71D" w14:textId="77777777" w:rsidR="00B622EA" w:rsidRDefault="00B9066F">
      <w:pPr>
        <w:pStyle w:val="normal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Krassimir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Stojanov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:</w:t>
      </w:r>
    </w:p>
    <w:p w14:paraId="566AADB8" w14:textId="22A6614B" w:rsidR="00B622EA" w:rsidRDefault="00B9066F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Você descreve a educação basicamente como o desenvolvimento do autorrespeito e da autoestima dentro do indivíduo; um desenvolvimento que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permite ao indivíduo participar como cidadão igualitário nas deliberações democráticas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 que, por sua vez, exige projetar as escolas como comunidades cooperativas caracterizadas por relações de reconhecimento mútuo. Poderia explicar como esse conceito de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educação baseado no reconhecimento está relacionado (se é que está) com a compreensão mais tradicional ou “clássica” de educação como emancipação</w:t>
      </w:r>
      <w:r>
        <w:rPr>
          <w:rStyle w:val="Refdenotaderodap"/>
          <w:rFonts w:ascii="Times New Roman" w:eastAsia="Times New Roman" w:hAnsi="Times New Roman" w:cs="Times New Roman"/>
          <w:sz w:val="24"/>
          <w:szCs w:val="24"/>
        </w:rPr>
        <w:footnoteReference w:id="7"/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? Essa compreensão ainda é fundamental para várias formas de pedagogia crítica hoje.</w:t>
      </w:r>
    </w:p>
    <w:p w14:paraId="55974FCC" w14:textId="77777777" w:rsidR="00B622EA" w:rsidRDefault="00B622EA" w:rsidP="00930241">
      <w:pPr>
        <w:pStyle w:val="normal1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14:paraId="28DD3641" w14:textId="77777777" w:rsidR="00B622EA" w:rsidRDefault="00B9066F">
      <w:pPr>
        <w:pStyle w:val="normal1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Axel Honneth:</w:t>
      </w:r>
    </w:p>
    <w:p w14:paraId="497719BB" w14:textId="6CA54240" w:rsidR="00B622EA" w:rsidRDefault="00B9066F" w:rsidP="00930241">
      <w:pPr>
        <w:pStyle w:val="normal1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“Emancipa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ção” é uma noção ambivalente, cujo significado muda com o contexto intelectual em que é usada. Basicamente, significa o processo de libertar-se de dependências e determinações que não se pode afirmar reflexivamente, com as quais não se pode concordar após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uma deliberação sóbria. A ambivalência na noção decorre da indecisão sobre se o agente de tal libertação reflexiva deve ser entendido como um sujeito único e monolítico ou como um grupo cooperativo – no primeiro caso, a atividade de libertar-se é percebida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como sendo realizada por um indivíduo isolado ou um coletivo unificado, como o “proletariado” de Marx ou a espécie humana; no segundo caso, é percebida como sendo realizada por um grupo cujos membros têm vozes e intenções diferentes. Quanto mais a “emanci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pação” é entendida no primeiro sentido, mais seu uso em contextos pedagógicos tende a produzir a ilusão de que a criança deve aprender a se tornar independente e autônoma por conta própria – como se a criança tivesse, por si mesma, poderes suficientes para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superar dependências indesejáveis. Para evitar esse mal-entendido,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enfatizo a dependência da criança em relação aos outros – sejam pares ou adultos – apontando que seu desenvolvimento moral e cognitivo depende profundamente de diferentes formas de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reconhecimento, começando na primeira infância com amor e cuidado, seguido por estima em suas muitas formas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e, finalmente, respeito. Em resumo, posso dizer que não difere do ideal pedagógico de “emancipação” em relação ao seu objetivo ou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>telos</w:t>
      </w:r>
      <w:proofErr w:type="spellEnd"/>
      <w:r>
        <w:rPr>
          <w:rStyle w:val="Refdenotaderodap"/>
          <w:rFonts w:ascii="Times New Roman" w:eastAsia="Times New Roman" w:hAnsi="Times New Roman" w:cs="Times New Roman"/>
          <w:sz w:val="24"/>
          <w:szCs w:val="24"/>
        </w:rPr>
        <w:footnoteReference w:id="8"/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, mas em r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elação a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o modo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como o processo para alcançar esse objetivo ou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>telos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é imaginado; ao enfatizar a dependência do reconhecimento, estou novamente destacando a estrutura comunicativa ou cooperativa de todos os processos de “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>Bildung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”</w:t>
      </w:r>
      <w:r>
        <w:rPr>
          <w:rStyle w:val="Refdenotaderodap"/>
          <w:rFonts w:ascii="Times New Roman" w:eastAsia="Times New Roman" w:hAnsi="Times New Roman" w:cs="Times New Roman"/>
          <w:sz w:val="24"/>
          <w:szCs w:val="24"/>
        </w:rPr>
        <w:footnoteReference w:id="9"/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ou educação.</w:t>
      </w:r>
    </w:p>
    <w:p w14:paraId="7922E4A9" w14:textId="77777777" w:rsidR="00B622EA" w:rsidRDefault="00B622E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14:paraId="453437BE" w14:textId="77777777" w:rsidR="00B622EA" w:rsidRDefault="00B9066F">
      <w:pPr>
        <w:pStyle w:val="normal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Krassimir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Stojanov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:</w:t>
      </w:r>
    </w:p>
    <w:p w14:paraId="7F4B57E6" w14:textId="1AEB93B4" w:rsidR="00B622EA" w:rsidRDefault="00B9066F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Você lamenta que, nos últimos anos, o foco da educação formal tenha se desviado da participação democrática e da cooperação para o treinamento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 empregabilidade e o incentivo ao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lastRenderedPageBreak/>
        <w:t xml:space="preserve">comportamento competitivo por meio da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implementação de testes padronizados. Você argumenta contra essa tendência citando certos resultados do Estudo PISA, que parecem sugerir que sistemas educacionais nacionais menos seletivos e mais democráticos ou cooperativos também apresentam melhor desemp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enho em termos de realizações acadêmicas dos alunos. No entanto, para muitos filósofos e sociólogos da educação, o Estudo PISA é a principal ferramenta para a promoção mundial de políticas “neoliberais” de mercantilização e padronização da educação. Portan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to, esses filósofos e sociólogos da educação podem rotulá-lo como um “defensor do neoliberalismo” por seu apoio ao PISA. Como você responderia a eles?</w:t>
      </w:r>
    </w:p>
    <w:p w14:paraId="087817A2" w14:textId="77777777" w:rsidR="00B622EA" w:rsidRDefault="00B622EA" w:rsidP="00930241">
      <w:pPr>
        <w:pStyle w:val="normal1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14:paraId="022F45BF" w14:textId="77777777" w:rsidR="00B622EA" w:rsidRDefault="00B9066F">
      <w:pPr>
        <w:pStyle w:val="normal1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Axel Honneth:</w:t>
      </w:r>
    </w:p>
    <w:p w14:paraId="6A936416" w14:textId="77777777" w:rsidR="00B622EA" w:rsidRDefault="00B9066F" w:rsidP="00930241">
      <w:pPr>
        <w:pStyle w:val="normal1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Não sou especialista, nem grande admirador dos Estudos PISA. Meu conhecimento sobre os pad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rões e os métodos aplicados por esses estudos comparativos anuais é extremamente limitado. Eu estava, principalmente, usando certos resultados deles para enfatizar meu ponto de que a educação pública, na maioria dos países, se afastou nos últimos anos de o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bjetivos democráticos e, ao mesmo tempo, enfatizou a empregabilidade e as atitudes competitivas. Isso, por si só, manifesta uma tendência que é propícia ao que é chamado de espírito neoliberal do capitalismo, ou seja, a ênfase no ator individual como um au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tônomo individualmente responsável por seu próprio sucesso ou fracasso no mercado capitalista. Quando utilizei alguns dados dos Estudos PISA, portanto, visava a um tipo de crítica que compartilho com aqueles que agora estão criticando esses estudos – e não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vejo por que não devemos usar um estudo empírico para virá-lo contra o espírito que ele mesmo manifesta. Não é razoável fazer uso de estatísticas oficiais para criticar os mesmos desenvolvimentos empíricos que provavelmente desejam esconder?</w:t>
      </w:r>
    </w:p>
    <w:p w14:paraId="33738693" w14:textId="77777777" w:rsidR="00B622EA" w:rsidRDefault="00B622E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14:paraId="71FE7311" w14:textId="77777777" w:rsidR="00B622EA" w:rsidRDefault="00B9066F">
      <w:pPr>
        <w:pStyle w:val="normal1"/>
        <w:jc w:val="both"/>
        <w:rPr>
          <w:b/>
          <w:bCs/>
          <w:lang w:val="pt-B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Krassimir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ojanov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:</w:t>
      </w:r>
    </w:p>
    <w:p w14:paraId="49913FD2" w14:textId="74D147AC" w:rsidR="00B622EA" w:rsidRDefault="00B9066F">
      <w:pPr>
        <w:pStyle w:val="normal1"/>
        <w:jc w:val="both"/>
        <w:rPr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Há alguns anos, você mencionou dois desafios principais para a educação escolar hoje em dia – a digitalização e o multiculturalismo (Honneth, 2015). Mas não seria o caso de que a atual crise do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oronavírus adicionou novos desafios, que podem ser a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inda mais difíceis de lidar? Por exemplo, o que dizer da substituição do ensino presencial pelo ensino doméstico</w:t>
      </w:r>
      <w:r>
        <w:rPr>
          <w:rStyle w:val="Refdenotaderodap"/>
          <w:rFonts w:ascii="Times New Roman" w:eastAsia="Times New Roman" w:hAnsi="Times New Roman" w:cs="Times New Roman"/>
          <w:sz w:val="24"/>
          <w:szCs w:val="24"/>
        </w:rPr>
        <w:footnoteReference w:id="10"/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on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line, que parece diluir as fronteiras entre a educação pública e a vida familiar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 amplificar as desigualdades educacionais? Em termos mais gerais: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ocê acredita que a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rise do Coronavírus terá um impacto de longo prazo na educação pública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e, se sim, quais formas desse impacto devemos esperar?</w:t>
      </w:r>
    </w:p>
    <w:p w14:paraId="644A43D0" w14:textId="77777777" w:rsidR="00B622EA" w:rsidRDefault="00B622EA">
      <w:pPr>
        <w:pStyle w:val="normal1"/>
        <w:rPr>
          <w:lang w:val="pt-BR"/>
        </w:rPr>
      </w:pPr>
    </w:p>
    <w:p w14:paraId="10186B51" w14:textId="77777777" w:rsidR="00B622EA" w:rsidRDefault="00B9066F" w:rsidP="00930241">
      <w:pPr>
        <w:pStyle w:val="normal1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Axel Honneth:</w:t>
      </w:r>
    </w:p>
    <w:p w14:paraId="21C274FD" w14:textId="5273D88C" w:rsidR="00B622EA" w:rsidRDefault="00B9066F" w:rsidP="00930241">
      <w:pPr>
        <w:pStyle w:val="normal1"/>
        <w:spacing w:line="240" w:lineRule="auto"/>
        <w:jc w:val="both"/>
        <w:rPr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É muito cedo para preve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r quais serão os impactos sociais, culturais e econômicos da atual crise do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oronavírus a longo prazo – você sabe tão bem quanto eu que há previsões hoje em dia baseadas em fundamentos frágeis, profetizando tanto impactos progressistas e emancipadores quanto impactos regressivos e devastadores. Pode ser, para lhe dar um exemplo, qu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e aprendamos no decorrer da crise que tipo de trabalho é verdadeiramente importante para o nosso bem-estar comum, de modo que no futuro reconheceremos essas formas de trabalho financeira e culturalmente muito mais do que hoje – ou retornaremos rapidamente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às formas estabelecidas de honrar e recompensar o trabalho, dando novamente prioridade a especulações financeiras,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ocupações dentro do domínio legal e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gerenciamento econômico. O melhor que podemos fazer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lastRenderedPageBreak/>
        <w:t xml:space="preserve">agora é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abster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nos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de especulações injustif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icadas sobre os impactos da crise no futuro e, em vez disso, concentrar-nos comunicativamente em descobrir o que não queremos que sejam esses impactos. Em tal processo de deliberação, eu levantaria minha voz contra todos os esforços para diminuir o papel c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entral da educação pública, seja fortalecendo elementos do ensino doméstico on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line ou enfraquecendo o papel do ensino presencial. O primeiro desenvolvimento, como você disse, diluiria as fronteiras entre a escola pública e a vida familiar e aumentaria as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desigualdades sociais; o segundo processo – o de reduzir o ensino em uma sala de aula física e substituí-lo pelo ensino on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line – aumentaria a individualização e o isolamento das crianças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</w:p>
    <w:p w14:paraId="3C0ED9F7" w14:textId="77777777" w:rsidR="00B622EA" w:rsidRDefault="00B622EA" w:rsidP="00930241">
      <w:pPr>
        <w:pStyle w:val="normal1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14:paraId="20CC9A38" w14:textId="77777777" w:rsidR="00B622EA" w:rsidRDefault="00B9066F">
      <w:pPr>
        <w:pStyle w:val="normal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Referências</w:t>
      </w:r>
      <w:proofErr w:type="spellEnd"/>
    </w:p>
    <w:p w14:paraId="644526BD" w14:textId="77777777" w:rsidR="00B622EA" w:rsidRDefault="00B622EA" w:rsidP="00930241">
      <w:pPr>
        <w:pStyle w:val="normal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86442E" w14:textId="77777777" w:rsidR="00930241" w:rsidRDefault="00930241" w:rsidP="00930241">
      <w:pPr>
        <w:pStyle w:val="normal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HONNETH, A.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Kindheit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Unstimmigkeiten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unserer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liberalen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Vorstellungswelt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HONNETH, A. (Ed.).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Die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Armut</w:t>
      </w:r>
      <w:proofErr w:type="spellEnd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unserer</w:t>
      </w:r>
      <w:proofErr w:type="spellEnd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Freiheit</w:t>
      </w:r>
      <w:proofErr w:type="spellEnd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Aufsätze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2012-2019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Berlin: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Suhrkamp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Verlag AG, 2020. p. 234-263.</w:t>
      </w:r>
    </w:p>
    <w:p w14:paraId="79C2ACAB" w14:textId="77777777" w:rsidR="00930241" w:rsidRDefault="00930241" w:rsidP="00930241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EC1D0A" w14:textId="3C671FEC" w:rsidR="00B622EA" w:rsidRDefault="00B9066F" w:rsidP="00B622E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HONNETH, A. Education and the Democratic Public Sphere: A Neglected Chapter of Political Philosophy.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JAKOBSEN, J.; LYSAKER, O. (Eds.).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Recognition and Freedom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Axel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Honneth’s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Political Thought. Leiden/Boston: Brill, 2015. p. 17-32.</w:t>
      </w:r>
    </w:p>
    <w:p w14:paraId="5B4067B1" w14:textId="50D6CBAA" w:rsidR="00930241" w:rsidRDefault="00930241" w:rsidP="00930241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5014D8" w14:textId="42336D2A" w:rsidR="00930241" w:rsidRPr="00930241" w:rsidRDefault="00930241" w:rsidP="00930241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930241">
        <w:rPr>
          <w:rFonts w:ascii="Times New Roman" w:eastAsia="Times New Roman" w:hAnsi="Times New Roman" w:cs="Times New Roman"/>
          <w:sz w:val="24"/>
          <w:szCs w:val="24"/>
          <w:lang w:val="pt-BR"/>
        </w:rPr>
        <w:t>HONNETH, A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  <w:r w:rsidRPr="00930241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930241"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  <w:t>Luta pelo Reconhecimento:</w:t>
      </w:r>
      <w:r w:rsidRPr="00930241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 gramática dos conflitos morais. São Paulo: Editora 34, 2003.</w:t>
      </w:r>
    </w:p>
    <w:p w14:paraId="24596AF9" w14:textId="77777777" w:rsidR="00B622EA" w:rsidRPr="00930241" w:rsidRDefault="00B622EA">
      <w:pPr>
        <w:pStyle w:val="normal1"/>
        <w:tabs>
          <w:tab w:val="left" w:pos="945"/>
        </w:tabs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14:paraId="59EB1421" w14:textId="77777777" w:rsidR="00930241" w:rsidRPr="00930241" w:rsidRDefault="00930241">
      <w:pPr>
        <w:pStyle w:val="normal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pt-BR"/>
        </w:rPr>
      </w:pPr>
    </w:p>
    <w:sectPr w:rsidR="00930241" w:rsidRPr="00930241">
      <w:pgSz w:w="12240" w:h="15840"/>
      <w:pgMar w:top="1440" w:right="1440" w:bottom="1440" w:left="1440" w:header="0" w:footer="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9CC56" w14:textId="77777777" w:rsidR="00B9066F" w:rsidRDefault="00B9066F">
      <w:pPr>
        <w:spacing w:line="240" w:lineRule="auto"/>
      </w:pPr>
      <w:r>
        <w:separator/>
      </w:r>
    </w:p>
  </w:endnote>
  <w:endnote w:type="continuationSeparator" w:id="0">
    <w:p w14:paraId="5C8D2759" w14:textId="77777777" w:rsidR="00B9066F" w:rsidRDefault="00B906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F40BE" w14:textId="77777777" w:rsidR="00B9066F" w:rsidRDefault="00B9066F">
      <w:pPr>
        <w:rPr>
          <w:sz w:val="12"/>
        </w:rPr>
      </w:pPr>
    </w:p>
  </w:footnote>
  <w:footnote w:type="continuationSeparator" w:id="0">
    <w:p w14:paraId="1875DAC1" w14:textId="77777777" w:rsidR="00B9066F" w:rsidRDefault="00B9066F">
      <w:pPr>
        <w:rPr>
          <w:sz w:val="12"/>
        </w:rPr>
      </w:pPr>
    </w:p>
  </w:footnote>
  <w:footnote w:id="1">
    <w:p w14:paraId="4C6A8D7D" w14:textId="084CACCA" w:rsidR="00B622EA" w:rsidRDefault="00B9066F">
      <w:pPr>
        <w:pStyle w:val="normal1"/>
        <w:spacing w:line="240" w:lineRule="auto"/>
        <w:jc w:val="both"/>
        <w:rPr>
          <w:rFonts w:ascii="Times New Roman" w:hAnsi="Times New Roman" w:cs="Times New Roman"/>
          <w:sz w:val="18"/>
          <w:szCs w:val="18"/>
          <w:lang w:val="pt-BR"/>
        </w:rPr>
      </w:pPr>
      <w:r>
        <w:rPr>
          <w:rStyle w:val="Caracteresdenotaderodap"/>
        </w:rPr>
        <w:footnoteRef/>
      </w:r>
      <w:r w:rsidRPr="00930241"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 Publicado originalmente em: </w:t>
      </w:r>
      <w:proofErr w:type="spellStart"/>
      <w:r w:rsidRPr="00930241">
        <w:rPr>
          <w:rFonts w:ascii="Times New Roman" w:eastAsia="Times New Roman" w:hAnsi="Times New Roman" w:cs="Times New Roman"/>
          <w:i/>
          <w:sz w:val="18"/>
          <w:szCs w:val="18"/>
          <w:highlight w:val="white"/>
          <w:lang w:val="pt-BR"/>
        </w:rPr>
        <w:t>Sisyphus</w:t>
      </w:r>
      <w:proofErr w:type="spellEnd"/>
      <w:r w:rsidRPr="00930241">
        <w:rPr>
          <w:rFonts w:ascii="Times New Roman" w:eastAsia="Times New Roman" w:hAnsi="Times New Roman" w:cs="Times New Roman"/>
          <w:i/>
          <w:sz w:val="18"/>
          <w:szCs w:val="18"/>
          <w:highlight w:val="white"/>
          <w:lang w:val="pt-BR"/>
        </w:rPr>
        <w:t xml:space="preserve"> </w:t>
      </w:r>
      <w:proofErr w:type="spellStart"/>
      <w:r w:rsidRPr="00930241">
        <w:rPr>
          <w:rFonts w:ascii="Times New Roman" w:eastAsia="Times New Roman" w:hAnsi="Times New Roman" w:cs="Times New Roman"/>
          <w:i/>
          <w:sz w:val="18"/>
          <w:szCs w:val="18"/>
          <w:highlight w:val="white"/>
          <w:lang w:val="pt-BR"/>
        </w:rPr>
        <w:t>Journal</w:t>
      </w:r>
      <w:proofErr w:type="spellEnd"/>
      <w:r w:rsidRPr="00930241">
        <w:rPr>
          <w:rFonts w:ascii="Times New Roman" w:eastAsia="Times New Roman" w:hAnsi="Times New Roman" w:cs="Times New Roman"/>
          <w:i/>
          <w:sz w:val="18"/>
          <w:szCs w:val="18"/>
          <w:highlight w:val="white"/>
          <w:lang w:val="pt-BR"/>
        </w:rPr>
        <w:t xml:space="preserve"> </w:t>
      </w:r>
      <w:proofErr w:type="spellStart"/>
      <w:r w:rsidRPr="00930241">
        <w:rPr>
          <w:rFonts w:ascii="Times New Roman" w:eastAsia="Times New Roman" w:hAnsi="Times New Roman" w:cs="Times New Roman"/>
          <w:i/>
          <w:sz w:val="18"/>
          <w:szCs w:val="18"/>
          <w:highlight w:val="white"/>
          <w:lang w:val="pt-BR"/>
        </w:rPr>
        <w:t>of</w:t>
      </w:r>
      <w:proofErr w:type="spellEnd"/>
      <w:r w:rsidRPr="00930241">
        <w:rPr>
          <w:rFonts w:ascii="Times New Roman" w:eastAsia="Times New Roman" w:hAnsi="Times New Roman" w:cs="Times New Roman"/>
          <w:i/>
          <w:sz w:val="18"/>
          <w:szCs w:val="18"/>
          <w:highlight w:val="white"/>
          <w:lang w:val="pt-BR"/>
        </w:rPr>
        <w:t xml:space="preserve"> </w:t>
      </w:r>
      <w:proofErr w:type="spellStart"/>
      <w:r w:rsidRPr="00930241">
        <w:rPr>
          <w:rFonts w:ascii="Times New Roman" w:eastAsia="Times New Roman" w:hAnsi="Times New Roman" w:cs="Times New Roman"/>
          <w:i/>
          <w:sz w:val="18"/>
          <w:szCs w:val="18"/>
          <w:highlight w:val="white"/>
          <w:lang w:val="pt-BR"/>
        </w:rPr>
        <w:t>Education</w:t>
      </w:r>
      <w:proofErr w:type="spellEnd"/>
      <w:r w:rsidRPr="00930241"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, </w:t>
      </w:r>
      <w:r w:rsidRPr="00930241"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v</w:t>
      </w:r>
      <w:r w:rsidRPr="00930241"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. 8, </w:t>
      </w:r>
      <w:r w:rsidRPr="00930241"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n. </w:t>
      </w:r>
      <w:r w:rsidRPr="00930241"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03</w:t>
      </w:r>
      <w:r w:rsidRPr="00930241"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, pp. 100-105</w:t>
      </w:r>
      <w:r w:rsidRPr="00930241"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, 2020</w:t>
      </w:r>
      <w:r w:rsidRPr="00930241"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.</w:t>
      </w:r>
      <w:r w:rsidRPr="00930241"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 DOI: https://doi.org/10.25749/sis.20178. 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Agradecemos aos professores Axel Honneth e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Krassimir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Stojanov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 por autorizarem a tradução e publicação da entrevista no Brasil.</w:t>
      </w:r>
    </w:p>
  </w:footnote>
  <w:footnote w:id="2">
    <w:p w14:paraId="2EC2E255" w14:textId="77777777" w:rsidR="00B622EA" w:rsidRDefault="00B9066F">
      <w:pPr>
        <w:pStyle w:val="normal1"/>
        <w:spacing w:line="240" w:lineRule="auto"/>
        <w:rPr>
          <w:rFonts w:ascii="Times New Roman" w:eastAsia="Times New Roman" w:hAnsi="Times New Roman" w:cs="Times New Roman"/>
          <w:sz w:val="18"/>
          <w:szCs w:val="18"/>
          <w:lang w:val="pt-BR"/>
        </w:rPr>
      </w:pPr>
      <w:r>
        <w:rPr>
          <w:rStyle w:val="Caracteresdenotaderodap"/>
        </w:rPr>
        <w:footnoteRef/>
      </w:r>
      <w:r>
        <w:rPr>
          <w:rFonts w:ascii="Times New Roman" w:eastAsia="Times New Roman" w:hAnsi="Times New Roman" w:cs="Times New Roman"/>
          <w:sz w:val="18"/>
          <w:szCs w:val="18"/>
          <w:lang w:val="pt-BR"/>
        </w:rPr>
        <w:t xml:space="preserve"> Professor de Filoso</w:t>
      </w:r>
      <w:r>
        <w:rPr>
          <w:rFonts w:ascii="Times New Roman" w:eastAsia="Times New Roman" w:hAnsi="Times New Roman" w:cs="Times New Roman"/>
          <w:sz w:val="18"/>
          <w:szCs w:val="18"/>
          <w:lang w:val="pt-BR"/>
        </w:rPr>
        <w:t xml:space="preserve">fia da Educação na 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Universidade Católica de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Eichstaett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-Ingolstadt – Baviera, Alemanha.</w:t>
      </w:r>
    </w:p>
  </w:footnote>
  <w:footnote w:id="3">
    <w:p w14:paraId="05719C44" w14:textId="77777777" w:rsidR="00B622EA" w:rsidRDefault="00B9066F">
      <w:pPr>
        <w:pStyle w:val="normal1"/>
        <w:spacing w:line="240" w:lineRule="auto"/>
        <w:rPr>
          <w:rFonts w:ascii="Times New Roman" w:hAnsi="Times New Roman" w:cs="Times New Roman"/>
          <w:sz w:val="18"/>
          <w:szCs w:val="18"/>
          <w:lang w:val="pt-BR"/>
        </w:rPr>
      </w:pPr>
      <w:r>
        <w:rPr>
          <w:rStyle w:val="Caracteresdenotaderodap"/>
        </w:rPr>
        <w:footnoteRef/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NdT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: No artigo em inglês: “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highlight w:val="white"/>
          <w:lang w:val="pt-BR"/>
        </w:rPr>
        <w:t>autonomy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”, em alemão Kant utiliza o conceito “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highlight w:val="white"/>
          <w:lang w:val="pt-BR"/>
        </w:rPr>
        <w:t>Autonomismu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s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”.</w:t>
      </w:r>
    </w:p>
  </w:footnote>
  <w:footnote w:id="4">
    <w:p w14:paraId="728497D2" w14:textId="008D81FA" w:rsidR="00B622EA" w:rsidRDefault="00B9066F">
      <w:pPr>
        <w:pStyle w:val="normal1"/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</w:pPr>
      <w:r>
        <w:rPr>
          <w:rStyle w:val="Caracteresdenotaderodap"/>
        </w:rPr>
        <w:footnoteRef/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NdT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: Em seu principal livro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,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  <w:highlight w:val="white"/>
          <w:lang w:val="pt-BR"/>
        </w:rPr>
        <w:t xml:space="preserve">Luta por </w:t>
      </w:r>
      <w:r w:rsidRPr="00930241">
        <w:rPr>
          <w:rFonts w:ascii="Times New Roman" w:eastAsia="Times New Roman" w:hAnsi="Times New Roman" w:cs="Times New Roman"/>
          <w:i/>
          <w:sz w:val="18"/>
          <w:szCs w:val="18"/>
          <w:lang w:val="pt-BR"/>
        </w:rPr>
        <w:t>Reconhecimento</w:t>
      </w:r>
      <w:r w:rsidRPr="00930241">
        <w:rPr>
          <w:rFonts w:ascii="Times New Roman" w:eastAsia="Times New Roman" w:hAnsi="Times New Roman" w:cs="Times New Roman"/>
          <w:iCs/>
          <w:sz w:val="18"/>
          <w:szCs w:val="18"/>
          <w:lang w:val="pt-BR"/>
        </w:rPr>
        <w:t>(</w:t>
      </w:r>
      <w:r w:rsidRPr="00930241">
        <w:rPr>
          <w:rFonts w:ascii="Times New Roman" w:eastAsia="Times New Roman" w:hAnsi="Times New Roman" w:cs="Times New Roman"/>
          <w:iCs/>
          <w:sz w:val="18"/>
          <w:szCs w:val="18"/>
          <w:lang w:val="pt-BR"/>
        </w:rPr>
        <w:t>1992</w:t>
      </w:r>
      <w:r w:rsidR="00930241" w:rsidRPr="00930241">
        <w:rPr>
          <w:rFonts w:ascii="Times New Roman" w:eastAsia="Times New Roman" w:hAnsi="Times New Roman" w:cs="Times New Roman"/>
          <w:iCs/>
          <w:sz w:val="18"/>
          <w:szCs w:val="18"/>
          <w:lang w:val="pt-BR"/>
        </w:rPr>
        <w:t>, edição brasileira de 2003</w:t>
      </w:r>
      <w:r w:rsidRPr="00930241">
        <w:rPr>
          <w:rFonts w:ascii="Times New Roman" w:eastAsia="Times New Roman" w:hAnsi="Times New Roman" w:cs="Times New Roman"/>
          <w:iCs/>
          <w:sz w:val="18"/>
          <w:szCs w:val="18"/>
          <w:lang w:val="pt-BR"/>
        </w:rPr>
        <w:t>)</w:t>
      </w:r>
      <w:r w:rsidRPr="00930241">
        <w:rPr>
          <w:rFonts w:ascii="Times New Roman" w:eastAsia="Times New Roman" w:hAnsi="Times New Roman" w:cs="Times New Roman"/>
          <w:iCs/>
          <w:sz w:val="18"/>
          <w:szCs w:val="18"/>
          <w:lang w:val="pt-BR"/>
        </w:rPr>
        <w:t xml:space="preserve">, </w:t>
      </w:r>
      <w:r w:rsidRPr="00930241">
        <w:rPr>
          <w:rFonts w:ascii="Times New Roman" w:eastAsia="Times New Roman" w:hAnsi="Times New Roman" w:cs="Times New Roman"/>
          <w:sz w:val="18"/>
          <w:szCs w:val="18"/>
          <w:lang w:val="pt-BR"/>
        </w:rPr>
        <w:t xml:space="preserve">Honneth 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critica a noção “atomística” de sociedade fundamentada pela Filosofia Moderna, pensando na sociedade como uma simples somatória de indivíduos, tese principal de pensadores como Maquiavel, Hobbes, Locke, Rousseau, Kant e outros. O atomismo social ne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ga que os seres humanos são sujeitos históricos e formados pelas condições sociais de existência – a sociedade forma os indivíduos e não o contrário.</w:t>
      </w:r>
    </w:p>
  </w:footnote>
  <w:footnote w:id="5">
    <w:p w14:paraId="63C13931" w14:textId="77777777" w:rsidR="00B622EA" w:rsidRDefault="00B9066F">
      <w:pPr>
        <w:pStyle w:val="normal1"/>
        <w:spacing w:line="240" w:lineRule="auto"/>
        <w:rPr>
          <w:rFonts w:ascii="Times New Roman" w:hAnsi="Times New Roman" w:cs="Times New Roman"/>
          <w:sz w:val="18"/>
          <w:szCs w:val="18"/>
          <w:lang w:val="pt-BR"/>
        </w:rPr>
      </w:pPr>
      <w:r>
        <w:rPr>
          <w:rStyle w:val="Caracteresdenotaderodap"/>
        </w:rPr>
        <w:footnoteRef/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NdT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: No artigo em inglês: “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highlight w:val="white"/>
          <w:lang w:val="pt-BR"/>
        </w:rPr>
        <w:t>freedom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”.</w:t>
      </w:r>
    </w:p>
  </w:footnote>
  <w:footnote w:id="6">
    <w:p w14:paraId="06BBE7D8" w14:textId="3EBB42D8" w:rsidR="00B622EA" w:rsidRDefault="00B9066F">
      <w:pPr>
        <w:pStyle w:val="normal1"/>
        <w:spacing w:line="240" w:lineRule="auto"/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</w:pPr>
      <w:r>
        <w:rPr>
          <w:rStyle w:val="Caracteresdenotaderodap"/>
        </w:rPr>
        <w:footnoteRef/>
      </w:r>
      <w:r w:rsidRPr="00930241">
        <w:rPr>
          <w:rFonts w:ascii="Times New Roman" w:hAnsi="Times New Roman" w:cs="Times New Roman"/>
          <w:sz w:val="18"/>
          <w:szCs w:val="18"/>
          <w:lang w:val="pt-B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NdT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: No artigo em inglês: “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highlight w:val="white"/>
          <w:lang w:val="pt-BR"/>
        </w:rPr>
        <w:t>Communicative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highlight w:val="white"/>
          <w:lang w:val="pt-B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highlight w:val="white"/>
          <w:lang w:val="pt-BR"/>
        </w:rPr>
        <w:t>freedom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”. O autor utiliz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a o conceito de “comunicativo” influenciado pelo conceito de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 Jürgen Habermas. Toda comunicação pressupõe interlocutores que se posicionam criticamente ao enunciado pelo sujeito e que os indivíduos possam usufruir igualmente dos meios de comunicação para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 se expressarem. Nes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s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e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s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 termos, a liberdade está condicionada ao social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.</w:t>
      </w:r>
    </w:p>
  </w:footnote>
  <w:footnote w:id="7">
    <w:p w14:paraId="71B9F12E" w14:textId="71A7BA93" w:rsidR="00B622EA" w:rsidRDefault="00B9066F">
      <w:pPr>
        <w:pStyle w:val="normal1"/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</w:pPr>
      <w:r>
        <w:rPr>
          <w:rStyle w:val="Caracteresdenotaderodap"/>
        </w:rPr>
        <w:footnoteRef/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NdT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Stojanov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 introduz o tema “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highlight w:val="white"/>
          <w:lang w:val="pt-BR"/>
        </w:rPr>
        <w:t>Emanzipation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”, conceito amplamente utilizado pelos teóricos da Escola de Frankfurt para abordar os objetivos teleológicos da educação. O 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conceito de emancipação não foi objeto de análise de Honneth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 (2015)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 em seu texto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, aparecendo somente para explicar a crença de Kant na educação pública como meio de emancipação política das classes baixas. A ausência de uma reflexão sobre es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s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e conc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eito foi notada pelos estudiosos da Escola de Frankfurt no campo acadêmico da educação.</w:t>
      </w:r>
    </w:p>
  </w:footnote>
  <w:footnote w:id="8">
    <w:p w14:paraId="056655E5" w14:textId="7C729486" w:rsidR="00B622EA" w:rsidRDefault="00B9066F">
      <w:pPr>
        <w:pStyle w:val="normal1"/>
        <w:spacing w:line="240" w:lineRule="auto"/>
        <w:jc w:val="both"/>
        <w:rPr>
          <w:rFonts w:ascii="Times New Roman" w:hAnsi="Times New Roman" w:cs="Times New Roman"/>
          <w:sz w:val="18"/>
          <w:szCs w:val="18"/>
          <w:lang w:val="pt-BR"/>
        </w:rPr>
      </w:pPr>
      <w:r>
        <w:rPr>
          <w:rStyle w:val="Caracteresdenotaderodap"/>
        </w:rPr>
        <w:footnoteRef/>
      </w:r>
      <w:r w:rsidRPr="00930241">
        <w:rPr>
          <w:rFonts w:ascii="Times New Roman" w:hAnsi="Times New Roman" w:cs="Times New Roman"/>
          <w:sz w:val="18"/>
          <w:szCs w:val="18"/>
          <w:lang w:val="pt-B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NdT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: Do Grego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highlight w:val="white"/>
        </w:rPr>
        <w:t>τέλος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”, conceito central na Filosofia Grega que significa ter “propósito” ou uma “finalidade”. Nes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s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e caso, significa que o “ideal 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pedagógico” teria como essência um propósito ou finalidade de emancipação.</w:t>
      </w:r>
    </w:p>
  </w:footnote>
  <w:footnote w:id="9">
    <w:p w14:paraId="41F9E01F" w14:textId="36DFD01B" w:rsidR="00B622EA" w:rsidRDefault="00B9066F">
      <w:pPr>
        <w:pStyle w:val="normal1"/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</w:pPr>
      <w:r>
        <w:rPr>
          <w:rStyle w:val="Caracteresdenotaderodap"/>
        </w:rPr>
        <w:footnoteRef/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 O conceito de “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highlight w:val="white"/>
          <w:lang w:val="pt-BR"/>
        </w:rPr>
        <w:t>Bildung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” geralmente é traduzido em português e em inglês como “educação”, porém se refere 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à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 construção da própria subjetividade, do caráter e da consciência crítica frente à cultura e 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à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 moral, que difere do conceito de “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highlight w:val="white"/>
          <w:lang w:val="pt-BR"/>
        </w:rPr>
        <w:t>Erziehung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”, também traduzido 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como 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“educação”, mas que faz referência 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à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 “educação formal” objetiva, própria da escola, nec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 xml:space="preserve">essária para o sujeito lidar com as realidades históricas e culturais do seu mundo. </w:t>
      </w:r>
    </w:p>
  </w:footnote>
  <w:footnote w:id="10">
    <w:p w14:paraId="2A17EC5D" w14:textId="77777777" w:rsidR="00B622EA" w:rsidRDefault="00B9066F">
      <w:pPr>
        <w:pStyle w:val="normal1"/>
        <w:spacing w:line="240" w:lineRule="auto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Style w:val="Caracteresdenotaderodap"/>
        </w:rPr>
        <w:footnoteRef/>
      </w:r>
      <w:r w:rsidRPr="00930241">
        <w:rPr>
          <w:rFonts w:ascii="Times New Roman" w:hAnsi="Times New Roman" w:cs="Times New Roman"/>
          <w:sz w:val="18"/>
          <w:szCs w:val="18"/>
          <w:lang w:val="pt-BR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No artigo em inglês: “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highlight w:val="white"/>
          <w:lang w:val="pt-BR"/>
        </w:rPr>
        <w:t>homeschooling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highlight w:val="white"/>
          <w:lang w:val="pt-BR"/>
        </w:rPr>
        <w:t>”.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cumentProtection w:edit="trackedChanges" w:enforcement="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2EA"/>
    <w:rsid w:val="00885921"/>
    <w:rsid w:val="00930241"/>
    <w:rsid w:val="00B622EA"/>
    <w:rsid w:val="00B90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25B26"/>
  <w15:docId w15:val="{385CBFD8-DE0E-4710-A3D4-7782026B5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normal1"/>
    <w:next w:val="normal1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normal1"/>
    <w:next w:val="normal1"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sdenotaderodap">
    <w:name w:val="Caracteres de nota de rodapé"/>
    <w:qFormat/>
  </w:style>
  <w:style w:type="character" w:styleId="Refdenotaderodap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styleId="Refdenotadefim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Caracteresdenotadefim">
    <w:name w:val="Caracteres de nota de fim"/>
    <w:qFormat/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77CB7"/>
    <w:rPr>
      <w:rFonts w:ascii="Tahoma" w:hAnsi="Tahoma" w:cs="Mangal"/>
      <w:sz w:val="16"/>
      <w:szCs w:val="14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600DA6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600DA6"/>
    <w:rPr>
      <w:rFonts w:cs="Mangal"/>
      <w:sz w:val="20"/>
      <w:szCs w:val="18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600DA6"/>
    <w:rPr>
      <w:rFonts w:cs="Mangal"/>
      <w:b/>
      <w:bCs/>
      <w:sz w:val="20"/>
      <w:szCs w:val="18"/>
    </w:rPr>
  </w:style>
  <w:style w:type="character" w:styleId="Nmerodelinha">
    <w:name w:val="line number"/>
  </w:style>
  <w:style w:type="paragraph" w:styleId="Ttulo">
    <w:name w:val="Title"/>
    <w:basedOn w:val="normal1"/>
    <w:next w:val="Corpodetexto"/>
    <w:qFormat/>
    <w:pPr>
      <w:keepNext/>
      <w:keepLines/>
      <w:spacing w:before="240"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ormal1">
    <w:name w:val="normal1"/>
    <w:qFormat/>
    <w:pPr>
      <w:spacing w:line="276" w:lineRule="auto"/>
    </w:pPr>
  </w:style>
  <w:style w:type="paragraph" w:styleId="Subttulo">
    <w:name w:val="Subtitle"/>
    <w:basedOn w:val="normal1"/>
    <w:next w:val="normal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styleId="Textodenotaderodap">
    <w:name w:val="footnote text"/>
    <w:basedOn w:val="Normal"/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277CB7"/>
    <w:pPr>
      <w:spacing w:line="240" w:lineRule="auto"/>
    </w:pPr>
    <w:rPr>
      <w:rFonts w:ascii="Tahoma" w:hAnsi="Tahoma" w:cs="Mangal"/>
      <w:sz w:val="16"/>
      <w:szCs w:val="14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00DA6"/>
    <w:pPr>
      <w:spacing w:line="240" w:lineRule="auto"/>
    </w:pPr>
    <w:rPr>
      <w:rFonts w:cs="Mangal"/>
      <w:sz w:val="20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600DA6"/>
    <w:rPr>
      <w:b/>
      <w:bCs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2010</Words>
  <Characters>10858</Characters>
  <Application>Microsoft Office Word</Application>
  <DocSecurity>0</DocSecurity>
  <Lines>90</Lines>
  <Paragraphs>25</Paragraphs>
  <ScaleCrop>false</ScaleCrop>
  <Company/>
  <LinksUpToDate>false</LinksUpToDate>
  <CharactersWithSpaces>12843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glreolon</dc:creator>
  <dc:description/>
  <cp:lastModifiedBy>glreolon</cp:lastModifiedBy>
  <cp:revision>3</cp:revision>
  <dcterms:created xsi:type="dcterms:W3CDTF">2024-09-03T14:03:00Z</dcterms:created>
  <dcterms:modified xsi:type="dcterms:W3CDTF">2024-09-03T14:06:00Z</dcterms:modified>
  <dc:language>pt-BR</dc:language>
</cp:coreProperties>
</file>